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42CCE" w14:textId="77777777" w:rsidR="001E61E4" w:rsidRDefault="00877D7C" w:rsidP="00553CF6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Vyúčtování</w:t>
      </w:r>
      <w:r w:rsidR="0051556D">
        <w:rPr>
          <w:b/>
          <w:bCs/>
          <w:sz w:val="32"/>
          <w:szCs w:val="32"/>
        </w:rPr>
        <w:t xml:space="preserve"> linek a spojů v závazku Kraje Vysočina</w:t>
      </w:r>
    </w:p>
    <w:p w14:paraId="56E7E022" w14:textId="77777777" w:rsidR="0091680B" w:rsidRDefault="0091680B" w:rsidP="0091680B">
      <w:pPr>
        <w:pStyle w:val="Odstavecseseznamem"/>
        <w:rPr>
          <w:b/>
          <w:bCs/>
          <w:sz w:val="32"/>
          <w:szCs w:val="32"/>
        </w:rPr>
      </w:pPr>
    </w:p>
    <w:p w14:paraId="188E5797" w14:textId="77777777" w:rsidR="0091680B" w:rsidRDefault="0091680B" w:rsidP="0091680B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Popis a postup k</w:t>
      </w:r>
      <w:r w:rsidR="003A0FC5">
        <w:rPr>
          <w:b/>
          <w:bCs/>
          <w:sz w:val="32"/>
          <w:szCs w:val="32"/>
        </w:rPr>
        <w:t> </w:t>
      </w:r>
      <w:r>
        <w:rPr>
          <w:b/>
          <w:bCs/>
          <w:sz w:val="32"/>
          <w:szCs w:val="32"/>
        </w:rPr>
        <w:t>vyúčtování</w:t>
      </w:r>
    </w:p>
    <w:p w14:paraId="27C2EA2A" w14:textId="77777777" w:rsidR="0091680B" w:rsidRPr="00E04E60" w:rsidRDefault="0091680B" w:rsidP="0091680B">
      <w:pPr>
        <w:pStyle w:val="Odstavecseseznamem"/>
        <w:rPr>
          <w:b/>
          <w:bCs/>
          <w:sz w:val="24"/>
          <w:szCs w:val="24"/>
        </w:rPr>
      </w:pPr>
      <w:r w:rsidRPr="00E04E60">
        <w:rPr>
          <w:b/>
          <w:bCs/>
          <w:sz w:val="24"/>
          <w:szCs w:val="24"/>
        </w:rPr>
        <w:t>A. Kontrola ujetých kilometrů v měsíci</w:t>
      </w:r>
    </w:p>
    <w:p w14:paraId="7B9E0A79" w14:textId="77777777" w:rsidR="0091680B" w:rsidRPr="00E04E60" w:rsidRDefault="0091680B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>1. Dopravce vyplní sloupce 1 až 8 měsíčního vyúčtování. Takto částečně vyplněnou tabulku zašle do 5-ti pracovních dnů od začátku měsíce kontaktní osobě na Krajský úřad Kraje Vysočina</w:t>
      </w:r>
      <w:r w:rsidR="006A37CA">
        <w:rPr>
          <w:bCs/>
          <w:sz w:val="24"/>
          <w:szCs w:val="24"/>
        </w:rPr>
        <w:t xml:space="preserve"> (kontaktní osoba pro kontrolu kilometrů)</w:t>
      </w:r>
      <w:r w:rsidRPr="00E04E60">
        <w:rPr>
          <w:bCs/>
          <w:sz w:val="24"/>
          <w:szCs w:val="24"/>
        </w:rPr>
        <w:t xml:space="preserve">, Odboru dopravy, Oddělení dopravní obslužnosti, která provede kontrolu počtu ujetých kilometrů za daný měsíc. </w:t>
      </w:r>
    </w:p>
    <w:p w14:paraId="7904AD27" w14:textId="77777777" w:rsidR="0091680B" w:rsidRPr="00E04E60" w:rsidRDefault="0091680B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>2. kontaktní osoba krajského úřadu odsouhlasí dopravci do 5 pracovních dnů od zaslání podkladů počet ujetých kilometrů</w:t>
      </w:r>
    </w:p>
    <w:p w14:paraId="4373B245" w14:textId="55F0A283" w:rsidR="0091680B" w:rsidRPr="00E04E60" w:rsidRDefault="0091680B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>3. Dopravce zašle neprodleně odsouhlasenou zkontrolovanou tabulku clearingovému centru ke clearingu (k rozdělení tržeb a dotací na linkospoje) na e-mailovou ad</w:t>
      </w:r>
      <w:r w:rsidR="004A7D99">
        <w:rPr>
          <w:bCs/>
          <w:sz w:val="24"/>
          <w:szCs w:val="24"/>
        </w:rPr>
        <w:t>resu. Nejpozději však do 14</w:t>
      </w:r>
      <w:r w:rsidRPr="00E04E60">
        <w:rPr>
          <w:bCs/>
          <w:sz w:val="24"/>
          <w:szCs w:val="24"/>
        </w:rPr>
        <w:t>. kalendářního dne. Clearingové centrum</w:t>
      </w:r>
      <w:r w:rsidR="008F054E" w:rsidRPr="00E04E60">
        <w:rPr>
          <w:bCs/>
          <w:sz w:val="24"/>
          <w:szCs w:val="24"/>
        </w:rPr>
        <w:t xml:space="preserve"> </w:t>
      </w:r>
      <w:r w:rsidRPr="00E04E60">
        <w:rPr>
          <w:bCs/>
          <w:sz w:val="24"/>
          <w:szCs w:val="24"/>
        </w:rPr>
        <w:t>provede rozdělen</w:t>
      </w:r>
      <w:r w:rsidR="006A37CA">
        <w:rPr>
          <w:bCs/>
          <w:sz w:val="24"/>
          <w:szCs w:val="24"/>
        </w:rPr>
        <w:t xml:space="preserve">í tržeb na linkospoje, jakmile </w:t>
      </w:r>
      <w:r w:rsidRPr="00E04E60">
        <w:rPr>
          <w:bCs/>
          <w:sz w:val="24"/>
          <w:szCs w:val="24"/>
        </w:rPr>
        <w:t>bude mít podklad od všech dopravců. Dopravce zašle pouze spoje, k</w:t>
      </w:r>
      <w:r w:rsidR="008F054E" w:rsidRPr="00E04E60">
        <w:rPr>
          <w:bCs/>
          <w:sz w:val="24"/>
          <w:szCs w:val="24"/>
        </w:rPr>
        <w:t xml:space="preserve">teré jsou zapojeny v tarifu VDV. Tabulka </w:t>
      </w:r>
      <w:r w:rsidRPr="00E04E60">
        <w:rPr>
          <w:bCs/>
          <w:sz w:val="24"/>
          <w:szCs w:val="24"/>
        </w:rPr>
        <w:t>obsahuje 1. čás</w:t>
      </w:r>
      <w:r w:rsidR="008F054E" w:rsidRPr="00E04E60">
        <w:rPr>
          <w:bCs/>
          <w:sz w:val="24"/>
          <w:szCs w:val="24"/>
        </w:rPr>
        <w:t>t (základní rozsah v aktuálním</w:t>
      </w:r>
      <w:r w:rsidRPr="00E04E60">
        <w:rPr>
          <w:bCs/>
          <w:sz w:val="24"/>
          <w:szCs w:val="24"/>
        </w:rPr>
        <w:t xml:space="preserve"> měsíci) i 2. část (objížďky a mimořádnosti v aktuálním měsíci)</w:t>
      </w:r>
    </w:p>
    <w:p w14:paraId="488AD9B5" w14:textId="77777777" w:rsidR="00E04E60" w:rsidRDefault="00E04E60" w:rsidP="0091680B">
      <w:pPr>
        <w:pStyle w:val="Odstavecseseznamem"/>
        <w:rPr>
          <w:b/>
          <w:bCs/>
          <w:sz w:val="32"/>
          <w:szCs w:val="32"/>
        </w:rPr>
      </w:pPr>
      <w:r w:rsidRPr="002C2F35">
        <w:rPr>
          <w:noProof/>
          <w:lang w:eastAsia="cs-CZ"/>
        </w:rPr>
        <w:drawing>
          <wp:inline distT="0" distB="0" distL="0" distR="0" wp14:anchorId="0E015947" wp14:editId="64CABF13">
            <wp:extent cx="3581400" cy="3315073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104" cy="332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ECA07" w14:textId="77777777" w:rsidR="00E04E60" w:rsidRDefault="00594D45" w:rsidP="00E04E6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775793">
        <w:rPr>
          <w:rFonts w:ascii="Calibri" w:hAnsi="Calibri" w:cs="Calibri"/>
        </w:rPr>
        <w:t>T</w:t>
      </w:r>
      <w:r w:rsidR="00E04E60">
        <w:rPr>
          <w:rFonts w:ascii="Calibri" w:hAnsi="Calibri" w:cs="Calibri"/>
        </w:rPr>
        <w:t>ab</w:t>
      </w:r>
      <w:r w:rsidR="00775793">
        <w:rPr>
          <w:rFonts w:ascii="Calibri" w:hAnsi="Calibri" w:cs="Calibri"/>
        </w:rPr>
        <w:t>.</w:t>
      </w:r>
      <w:r w:rsidR="00E04E60">
        <w:rPr>
          <w:rFonts w:ascii="Calibri" w:hAnsi="Calibri" w:cs="Calibri"/>
        </w:rPr>
        <w:t xml:space="preserve"> </w:t>
      </w:r>
      <w:r w:rsidR="003A0FC5">
        <w:rPr>
          <w:rFonts w:ascii="Calibri" w:hAnsi="Calibri" w:cs="Calibri"/>
        </w:rPr>
        <w:t>č. 1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VZOR </w:t>
      </w:r>
      <w:r w:rsidR="00E04E60" w:rsidRPr="002C2F35">
        <w:rPr>
          <w:rFonts w:ascii="Calibri" w:hAnsi="Calibri" w:cs="Calibri"/>
        </w:rPr>
        <w:t>tabulky, kt</w:t>
      </w:r>
      <w:r w:rsidR="00E04E60">
        <w:rPr>
          <w:rFonts w:ascii="Calibri" w:hAnsi="Calibri" w:cs="Calibri"/>
        </w:rPr>
        <w:t>erou dopravce zasílá ke clearingu clearingovému centru</w:t>
      </w:r>
    </w:p>
    <w:p w14:paraId="452916C8" w14:textId="77777777" w:rsidR="00E04E60" w:rsidRDefault="00E04E60" w:rsidP="0091680B">
      <w:pPr>
        <w:pStyle w:val="Odstavecseseznamem"/>
        <w:rPr>
          <w:b/>
          <w:bCs/>
          <w:sz w:val="32"/>
          <w:szCs w:val="32"/>
        </w:rPr>
      </w:pPr>
    </w:p>
    <w:p w14:paraId="545BBEE3" w14:textId="77777777" w:rsidR="008F054E" w:rsidRDefault="008F054E" w:rsidP="0091680B">
      <w:pPr>
        <w:pStyle w:val="Odstavecseseznamem"/>
        <w:rPr>
          <w:b/>
          <w:bCs/>
          <w:sz w:val="32"/>
          <w:szCs w:val="32"/>
        </w:rPr>
      </w:pPr>
      <w:r w:rsidRPr="008F054E">
        <w:rPr>
          <w:b/>
          <w:bCs/>
          <w:sz w:val="32"/>
          <w:szCs w:val="32"/>
        </w:rPr>
        <w:t>B. Zúč</w:t>
      </w:r>
      <w:r>
        <w:rPr>
          <w:b/>
          <w:bCs/>
          <w:sz w:val="32"/>
          <w:szCs w:val="32"/>
        </w:rPr>
        <w:t>tování tržeb clearingovým centrem</w:t>
      </w:r>
      <w:r w:rsidRPr="008F054E">
        <w:rPr>
          <w:b/>
          <w:bCs/>
          <w:sz w:val="32"/>
          <w:szCs w:val="32"/>
        </w:rPr>
        <w:t xml:space="preserve"> - platí pro dopravce zapojené do tarifu VDV</w:t>
      </w:r>
    </w:p>
    <w:p w14:paraId="5EB6E833" w14:textId="77777777" w:rsidR="008F054E" w:rsidRDefault="008F054E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>Dopravce zašle clearingov</w:t>
      </w:r>
      <w:r w:rsidR="00124A31">
        <w:rPr>
          <w:bCs/>
          <w:sz w:val="24"/>
          <w:szCs w:val="24"/>
        </w:rPr>
        <w:t>ému centru nejpozději však do 14</w:t>
      </w:r>
      <w:r w:rsidRPr="00E04E60">
        <w:rPr>
          <w:bCs/>
          <w:sz w:val="24"/>
          <w:szCs w:val="24"/>
        </w:rPr>
        <w:t xml:space="preserve"> kalendářního dne (sloupce 1 až 8 vyúčtování) na e-mailovou adresu</w:t>
      </w:r>
      <w:r w:rsidR="006A37CA">
        <w:rPr>
          <w:bCs/>
          <w:sz w:val="24"/>
          <w:szCs w:val="24"/>
        </w:rPr>
        <w:t xml:space="preserve"> + na e-mailovou adresu kontaktní osoby pro vyúčtování krajského úřadu</w:t>
      </w:r>
      <w:r w:rsidRPr="00E04E60">
        <w:rPr>
          <w:bCs/>
          <w:sz w:val="24"/>
          <w:szCs w:val="24"/>
        </w:rPr>
        <w:t>. Dopravce zašle pouze spoje, které jsou zapojeny v tarifu VDV. Tabulka obsahuje 1. část (základní rozsah v</w:t>
      </w:r>
      <w:r w:rsidR="00775793">
        <w:rPr>
          <w:bCs/>
          <w:sz w:val="24"/>
          <w:szCs w:val="24"/>
        </w:rPr>
        <w:t> </w:t>
      </w:r>
      <w:r w:rsidRPr="00E04E60">
        <w:rPr>
          <w:bCs/>
          <w:sz w:val="24"/>
          <w:szCs w:val="24"/>
        </w:rPr>
        <w:t>aktuálním</w:t>
      </w:r>
      <w:r w:rsidR="00775793">
        <w:rPr>
          <w:bCs/>
          <w:sz w:val="24"/>
          <w:szCs w:val="24"/>
        </w:rPr>
        <w:t xml:space="preserve"> </w:t>
      </w:r>
      <w:r w:rsidRPr="00E04E60">
        <w:rPr>
          <w:bCs/>
          <w:sz w:val="24"/>
          <w:szCs w:val="24"/>
        </w:rPr>
        <w:t>měsíci) i 2. část (objížďky a mimořádnosti v aktuálním měsíci)</w:t>
      </w:r>
      <w:r w:rsidR="006A37CA">
        <w:rPr>
          <w:bCs/>
          <w:sz w:val="24"/>
          <w:szCs w:val="24"/>
        </w:rPr>
        <w:t>, viz tab</w:t>
      </w:r>
      <w:r w:rsidR="00775793">
        <w:rPr>
          <w:bCs/>
          <w:sz w:val="24"/>
          <w:szCs w:val="24"/>
        </w:rPr>
        <w:t>.</w:t>
      </w:r>
      <w:r w:rsidR="006A37CA">
        <w:rPr>
          <w:bCs/>
          <w:sz w:val="24"/>
          <w:szCs w:val="24"/>
        </w:rPr>
        <w:t>, č. 1</w:t>
      </w:r>
    </w:p>
    <w:p w14:paraId="29F6CF49" w14:textId="77777777" w:rsidR="00391AE1" w:rsidRDefault="00391AE1" w:rsidP="0091680B">
      <w:pPr>
        <w:pStyle w:val="Odstavecseseznamem"/>
        <w:rPr>
          <w:bCs/>
          <w:sz w:val="24"/>
          <w:szCs w:val="24"/>
        </w:rPr>
      </w:pPr>
    </w:p>
    <w:p w14:paraId="7C7AE66D" w14:textId="77777777" w:rsidR="00391AE1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Clearingové centrum</w:t>
      </w:r>
      <w:r w:rsidR="00DF59A1">
        <w:rPr>
          <w:bCs/>
          <w:sz w:val="24"/>
          <w:szCs w:val="24"/>
        </w:rPr>
        <w:t xml:space="preserve"> vyvěsí na svých stránkách základní rozúčtování</w:t>
      </w:r>
      <w:r w:rsidR="00450390">
        <w:rPr>
          <w:bCs/>
          <w:sz w:val="24"/>
          <w:szCs w:val="24"/>
        </w:rPr>
        <w:t xml:space="preserve"> dle </w:t>
      </w:r>
      <w:r w:rsidR="00A4694F">
        <w:rPr>
          <w:bCs/>
          <w:sz w:val="24"/>
          <w:szCs w:val="24"/>
        </w:rPr>
        <w:t>rozsahu jednotlivých oblastí a vystaví křížové faktury pro jednotlivé oblasti na svůj web do 15. dne v aktuálním měsíci.</w:t>
      </w:r>
    </w:p>
    <w:p w14:paraId="11E6EBAC" w14:textId="77777777" w:rsidR="00A4694F" w:rsidRDefault="00A4694F" w:rsidP="0091680B">
      <w:pPr>
        <w:pStyle w:val="Odstavecseseznamem"/>
        <w:rPr>
          <w:bCs/>
          <w:sz w:val="24"/>
          <w:szCs w:val="24"/>
        </w:rPr>
      </w:pPr>
    </w:p>
    <w:p w14:paraId="62EBD390" w14:textId="77777777" w:rsidR="00A4694F" w:rsidRDefault="00A4694F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Clearingové centrum provede neprodleně po 14. dni aktuálního měsíce rozúčtování tržeb a dotací na linkospoje podle podkladů zaslaných dopravcem.</w:t>
      </w:r>
    </w:p>
    <w:p w14:paraId="0C20305B" w14:textId="77777777" w:rsidR="00A4694F" w:rsidRPr="00E04E60" w:rsidRDefault="00A4694F" w:rsidP="0091680B">
      <w:pPr>
        <w:pStyle w:val="Odstavecseseznamem"/>
        <w:rPr>
          <w:bCs/>
          <w:sz w:val="24"/>
          <w:szCs w:val="24"/>
        </w:rPr>
      </w:pPr>
    </w:p>
    <w:p w14:paraId="49EBBBE5" w14:textId="77777777" w:rsidR="008F054E" w:rsidRDefault="008F054E" w:rsidP="0091680B">
      <w:pPr>
        <w:pStyle w:val="Odstavecseseznamem"/>
        <w:rPr>
          <w:bCs/>
          <w:sz w:val="24"/>
          <w:szCs w:val="24"/>
        </w:rPr>
      </w:pPr>
    </w:p>
    <w:p w14:paraId="739419CE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13AED6F8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3579A78F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171DED06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721AAB03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041F75E6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45FAA9EF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3C560433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4AEBF237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58B81214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289A6AE6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4703C708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76F750B3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08DFD838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0E76931F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75F6B745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14E1B5F3" w14:textId="77777777" w:rsidR="003A0FC5" w:rsidRDefault="003A0FC5" w:rsidP="0091680B">
      <w:pPr>
        <w:pStyle w:val="Odstavecseseznamem"/>
        <w:rPr>
          <w:bCs/>
          <w:sz w:val="24"/>
          <w:szCs w:val="24"/>
        </w:rPr>
      </w:pPr>
    </w:p>
    <w:p w14:paraId="320DE3B3" w14:textId="77777777" w:rsidR="003A0FC5" w:rsidRPr="00A4694F" w:rsidRDefault="003A0FC5" w:rsidP="00A4694F">
      <w:pPr>
        <w:rPr>
          <w:bCs/>
          <w:sz w:val="24"/>
          <w:szCs w:val="24"/>
        </w:rPr>
      </w:pPr>
    </w:p>
    <w:p w14:paraId="59E51B40" w14:textId="77777777" w:rsidR="003A0FC5" w:rsidRPr="00E04E60" w:rsidRDefault="003A0FC5" w:rsidP="0091680B">
      <w:pPr>
        <w:pStyle w:val="Odstavecseseznamem"/>
        <w:rPr>
          <w:bCs/>
          <w:sz w:val="24"/>
          <w:szCs w:val="24"/>
        </w:rPr>
      </w:pPr>
    </w:p>
    <w:p w14:paraId="45533C31" w14:textId="77777777" w:rsidR="008F054E" w:rsidRDefault="008F054E" w:rsidP="0091680B">
      <w:pPr>
        <w:pStyle w:val="Odstavecseseznamem"/>
        <w:rPr>
          <w:b/>
          <w:bCs/>
          <w:sz w:val="32"/>
          <w:szCs w:val="32"/>
        </w:rPr>
      </w:pPr>
      <w:r w:rsidRPr="008F054E">
        <w:rPr>
          <w:b/>
          <w:bCs/>
          <w:sz w:val="32"/>
          <w:szCs w:val="32"/>
        </w:rPr>
        <w:t>C. Vyúčtování</w:t>
      </w:r>
    </w:p>
    <w:p w14:paraId="25390AC1" w14:textId="77777777" w:rsidR="008F054E" w:rsidRPr="00E04E60" w:rsidRDefault="00A4694F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1. D</w:t>
      </w:r>
      <w:r w:rsidR="008F054E" w:rsidRPr="00E04E60">
        <w:rPr>
          <w:bCs/>
          <w:sz w:val="24"/>
          <w:szCs w:val="24"/>
        </w:rPr>
        <w:t>opravce do 25-tého v měsíci zašle návrh vyúčtování ke kontrole</w:t>
      </w:r>
      <w:r w:rsidR="00775793">
        <w:rPr>
          <w:bCs/>
          <w:sz w:val="24"/>
          <w:szCs w:val="24"/>
        </w:rPr>
        <w:t xml:space="preserve"> </w:t>
      </w:r>
      <w:r w:rsidR="008F054E" w:rsidRPr="00E04E60">
        <w:rPr>
          <w:bCs/>
          <w:sz w:val="24"/>
          <w:szCs w:val="24"/>
        </w:rPr>
        <w:t>(kontaktní osobě pro vyúčtování na Krajský úřad Kraje Vysočina, Odboru dopravy,</w:t>
      </w:r>
      <w:r w:rsidR="00BE719D">
        <w:rPr>
          <w:bCs/>
          <w:sz w:val="24"/>
          <w:szCs w:val="24"/>
        </w:rPr>
        <w:t xml:space="preserve"> Oddělení dopravní obslužnosti). Pozn. Tržby, dotace a zaměstnanecké jízdné bude obsaženo pouze v základní části.</w:t>
      </w:r>
    </w:p>
    <w:p w14:paraId="185E579F" w14:textId="77777777" w:rsidR="008F054E" w:rsidRPr="00E04E60" w:rsidRDefault="008F054E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 xml:space="preserve">2. </w:t>
      </w:r>
      <w:r w:rsidR="00391AE1">
        <w:rPr>
          <w:bCs/>
          <w:sz w:val="24"/>
          <w:szCs w:val="24"/>
        </w:rPr>
        <w:t>K</w:t>
      </w:r>
      <w:r w:rsidR="003A0FC5">
        <w:rPr>
          <w:bCs/>
          <w:sz w:val="24"/>
          <w:szCs w:val="24"/>
        </w:rPr>
        <w:t xml:space="preserve">ontaktní osoba pro vyúčtování </w:t>
      </w:r>
      <w:r w:rsidRPr="00E04E60">
        <w:rPr>
          <w:bCs/>
          <w:sz w:val="24"/>
          <w:szCs w:val="24"/>
        </w:rPr>
        <w:t>zašle dopravci návrh vyúčtování "Platby dopravci" za příslušný měsíc</w:t>
      </w:r>
      <w:r w:rsidR="00391AE1">
        <w:rPr>
          <w:bCs/>
          <w:sz w:val="24"/>
          <w:szCs w:val="24"/>
        </w:rPr>
        <w:t xml:space="preserve"> a odsouhlasí vyúčtování</w:t>
      </w:r>
      <w:r w:rsidR="00A4694F">
        <w:rPr>
          <w:bCs/>
          <w:sz w:val="24"/>
          <w:szCs w:val="24"/>
        </w:rPr>
        <w:t>.</w:t>
      </w:r>
    </w:p>
    <w:p w14:paraId="76542981" w14:textId="77777777" w:rsidR="00E04E60" w:rsidRPr="00E04E60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E04E60" w:rsidRPr="00E04E60">
        <w:rPr>
          <w:bCs/>
          <w:sz w:val="24"/>
          <w:szCs w:val="24"/>
        </w:rPr>
        <w:t>. Dopravce zašle odsouhlasené vyúčtování v listinné podobě na Krajský úřad Kraje Vysočina, Odbor dopravy, oddělení dopravní obslužnosti</w:t>
      </w:r>
      <w:r w:rsidR="00A4694F">
        <w:rPr>
          <w:bCs/>
          <w:sz w:val="24"/>
          <w:szCs w:val="24"/>
        </w:rPr>
        <w:t>.</w:t>
      </w:r>
    </w:p>
    <w:p w14:paraId="15C9234A" w14:textId="77777777" w:rsidR="00E04E60" w:rsidRPr="00E04E60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E04E60" w:rsidRPr="00E04E60">
        <w:rPr>
          <w:bCs/>
          <w:sz w:val="24"/>
          <w:szCs w:val="24"/>
        </w:rPr>
        <w:t>. Krajský úřad Kraje Vysočina odešle dopravci platbu za příslušný měsíc</w:t>
      </w:r>
      <w:r w:rsidR="00A4694F">
        <w:rPr>
          <w:bCs/>
          <w:sz w:val="24"/>
          <w:szCs w:val="24"/>
        </w:rPr>
        <w:t>.</w:t>
      </w:r>
    </w:p>
    <w:p w14:paraId="605B973C" w14:textId="77777777" w:rsidR="002C2F35" w:rsidRDefault="00C26642" w:rsidP="001E61E4">
      <w:r w:rsidRPr="00C26642">
        <w:rPr>
          <w:noProof/>
        </w:rPr>
        <w:lastRenderedPageBreak/>
        <w:drawing>
          <wp:inline distT="0" distB="0" distL="0" distR="0" wp14:anchorId="51112447" wp14:editId="19A9929C">
            <wp:extent cx="9777730" cy="525669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5D255" w14:textId="77777777" w:rsidR="001E61E4" w:rsidRDefault="002C2F35" w:rsidP="001E61E4">
      <w:r>
        <w:t xml:space="preserve">tab. č. </w:t>
      </w:r>
      <w:r w:rsidR="003A0FC5">
        <w:t>2</w:t>
      </w:r>
      <w:r>
        <w:t xml:space="preserve"> -</w:t>
      </w:r>
      <w:r w:rsidR="00594D45">
        <w:t xml:space="preserve"> VZOR</w:t>
      </w:r>
      <w:r w:rsidR="00D03C6C">
        <w:t xml:space="preserve"> měsíčního vyúčtování</w:t>
      </w:r>
    </w:p>
    <w:p w14:paraId="2422D22F" w14:textId="77777777" w:rsidR="001E61E4" w:rsidRDefault="001E61E4" w:rsidP="001E61E4"/>
    <w:p w14:paraId="66E61D9A" w14:textId="77777777" w:rsidR="00C26642" w:rsidRDefault="00C26642" w:rsidP="001E61E4"/>
    <w:p w14:paraId="250A968E" w14:textId="77777777" w:rsidR="001E61E4" w:rsidRDefault="003A0FC5" w:rsidP="003A0FC5">
      <w:pPr>
        <w:ind w:firstLine="360"/>
        <w:rPr>
          <w:b/>
          <w:sz w:val="32"/>
          <w:szCs w:val="32"/>
        </w:rPr>
      </w:pPr>
      <w:r w:rsidRPr="003A0FC5">
        <w:rPr>
          <w:b/>
          <w:sz w:val="32"/>
          <w:szCs w:val="32"/>
        </w:rPr>
        <w:lastRenderedPageBreak/>
        <w:t>D. Zaměstnanecké jízdné</w:t>
      </w:r>
    </w:p>
    <w:p w14:paraId="223E97DC" w14:textId="77777777" w:rsidR="003A0FC5" w:rsidRDefault="003A0FC5" w:rsidP="003A0FC5">
      <w:pPr>
        <w:ind w:left="360"/>
      </w:pPr>
      <w:r w:rsidRPr="003A0FC5">
        <w:t>Týká se dopravců, kteří jsou zapojeni do Tarifu VDV Kraje Vysočina. Dopravce vyčíslí každý měsíc počet prodaných režijních karet a doloží aktuální seznam aktivních karet. Zaměstnanecké jízdné se rozpočítává ne jednotlivé spoje, ale pouze v 1. části vyúčtování.</w:t>
      </w:r>
    </w:p>
    <w:p w14:paraId="56549755" w14:textId="77777777" w:rsidR="006B2964" w:rsidRDefault="00594D45" w:rsidP="003A0FC5">
      <w:pPr>
        <w:ind w:left="360"/>
      </w:pPr>
      <w:r w:rsidRPr="00594D45">
        <w:rPr>
          <w:noProof/>
          <w:lang w:eastAsia="cs-CZ"/>
        </w:rPr>
        <w:drawing>
          <wp:inline distT="0" distB="0" distL="0" distR="0" wp14:anchorId="196A23D8" wp14:editId="17EDDFA7">
            <wp:extent cx="4781550" cy="4684120"/>
            <wp:effectExtent l="0" t="0" r="0" b="254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099" cy="468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E6B81" w14:textId="77777777" w:rsidR="00594D45" w:rsidRDefault="00594D45" w:rsidP="003A0FC5">
      <w:pPr>
        <w:ind w:left="360"/>
      </w:pPr>
      <w:r>
        <w:t>tab. č. 3 – VZOR formuláře pro vykazování identifikačních průkazů zaměstnaneckého jízdného</w:t>
      </w:r>
    </w:p>
    <w:p w14:paraId="23AEDC40" w14:textId="77777777" w:rsidR="00594D45" w:rsidRPr="003A0FC5" w:rsidRDefault="00594D45" w:rsidP="003A0FC5">
      <w:pPr>
        <w:ind w:left="360"/>
      </w:pPr>
    </w:p>
    <w:p w14:paraId="0644596C" w14:textId="77777777" w:rsidR="001E61E4" w:rsidRDefault="006B2964" w:rsidP="006B2964">
      <w:pPr>
        <w:ind w:firstLine="360"/>
        <w:rPr>
          <w:b/>
          <w:sz w:val="32"/>
          <w:szCs w:val="32"/>
        </w:rPr>
      </w:pPr>
      <w:r w:rsidRPr="006B2964">
        <w:rPr>
          <w:b/>
          <w:sz w:val="32"/>
          <w:szCs w:val="32"/>
        </w:rPr>
        <w:lastRenderedPageBreak/>
        <w:t>E. Mýto</w:t>
      </w:r>
    </w:p>
    <w:p w14:paraId="0727335E" w14:textId="77777777" w:rsidR="006B2964" w:rsidRPr="006B2964" w:rsidRDefault="006B2964" w:rsidP="006B2964">
      <w:pPr>
        <w:spacing w:after="0"/>
        <w:ind w:left="360"/>
      </w:pPr>
      <w:r w:rsidRPr="006B2964">
        <w:t>Dopravce nejprve zašle tabulku mýta ke kontrole kontaktním osobám krajského úřadu nejpozději do 15.tého v kalendářním měsíci.</w:t>
      </w:r>
    </w:p>
    <w:p w14:paraId="05EA5A4B" w14:textId="77777777" w:rsidR="00B9280D" w:rsidRDefault="006B2964" w:rsidP="006B2964">
      <w:pPr>
        <w:spacing w:after="0"/>
        <w:ind w:left="360"/>
      </w:pPr>
      <w:r w:rsidRPr="006B2964">
        <w:t>Mýto - dopravce s</w:t>
      </w:r>
      <w:r>
        <w:t xml:space="preserve">polečně s vyúčtováním předloží </w:t>
      </w:r>
      <w:r w:rsidRPr="006B2964">
        <w:t>vyúčtování mýta za příslušný kalendářní měsíc. Objednatel dopravci hradí pouze mýtné za skutečně ujeté km po zpoplatněných úsecích silnic a dálnic v rámci plnění závazku. Dopravce k vyúčtování předloží Výkaz mýta za přísluš</w:t>
      </w:r>
      <w:r>
        <w:t xml:space="preserve">ný měsíc, který bude podepsaný </w:t>
      </w:r>
      <w:r w:rsidRPr="006B2964">
        <w:t>osobou oprávněnou jednat za dopravce. Dopravce do sloupce "Poznámka" uvede důvod uvedení mýta do výkazu, pouze v případě mimořádné jízdy autobusem po zpoplatněném úseku silnice.</w:t>
      </w:r>
    </w:p>
    <w:p w14:paraId="0A96AB1E" w14:textId="77777777" w:rsidR="006B2964" w:rsidRDefault="006558C6" w:rsidP="006B2964">
      <w:pPr>
        <w:spacing w:after="0"/>
        <w:ind w:left="360"/>
      </w:pPr>
      <w:r w:rsidRPr="006558C6">
        <w:rPr>
          <w:noProof/>
        </w:rPr>
        <w:drawing>
          <wp:inline distT="0" distB="0" distL="0" distR="0" wp14:anchorId="1BA9B667" wp14:editId="58C751C0">
            <wp:extent cx="9777730" cy="335437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35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F5665" w14:textId="77777777" w:rsidR="006B2964" w:rsidRDefault="006B2964" w:rsidP="006B2964">
      <w:pPr>
        <w:spacing w:after="0"/>
        <w:ind w:left="360"/>
      </w:pPr>
    </w:p>
    <w:p w14:paraId="201238E2" w14:textId="77777777" w:rsidR="006558C6" w:rsidRDefault="006558C6" w:rsidP="006B2964">
      <w:pPr>
        <w:spacing w:after="0"/>
        <w:ind w:left="360"/>
      </w:pPr>
    </w:p>
    <w:p w14:paraId="761D07EC" w14:textId="77777777" w:rsidR="006558C6" w:rsidRDefault="006558C6" w:rsidP="006B2964">
      <w:pPr>
        <w:spacing w:after="0"/>
        <w:ind w:left="360"/>
      </w:pPr>
    </w:p>
    <w:p w14:paraId="52C5D00F" w14:textId="77777777" w:rsidR="006558C6" w:rsidRDefault="006558C6" w:rsidP="006B2964">
      <w:pPr>
        <w:spacing w:after="0"/>
        <w:ind w:left="360"/>
      </w:pPr>
    </w:p>
    <w:p w14:paraId="09CBBBE0" w14:textId="77777777" w:rsidR="006558C6" w:rsidRDefault="006558C6" w:rsidP="006B2964">
      <w:pPr>
        <w:spacing w:after="0"/>
        <w:ind w:left="360"/>
      </w:pPr>
    </w:p>
    <w:p w14:paraId="67F32D7B" w14:textId="77777777" w:rsidR="006558C6" w:rsidRDefault="006558C6" w:rsidP="006B2964">
      <w:pPr>
        <w:spacing w:after="0"/>
        <w:ind w:left="360"/>
      </w:pPr>
    </w:p>
    <w:p w14:paraId="7724AEDB" w14:textId="77777777" w:rsidR="006558C6" w:rsidRDefault="006558C6" w:rsidP="006B2964">
      <w:pPr>
        <w:spacing w:after="0"/>
        <w:ind w:left="360"/>
      </w:pPr>
    </w:p>
    <w:p w14:paraId="55550C55" w14:textId="77777777" w:rsidR="006558C6" w:rsidRDefault="006558C6" w:rsidP="006B2964">
      <w:pPr>
        <w:spacing w:after="0"/>
        <w:ind w:left="360"/>
      </w:pPr>
    </w:p>
    <w:p w14:paraId="3AC6EDA0" w14:textId="77777777" w:rsidR="006558C6" w:rsidRDefault="006558C6" w:rsidP="006B2964">
      <w:pPr>
        <w:spacing w:after="0"/>
        <w:ind w:left="360"/>
      </w:pPr>
    </w:p>
    <w:p w14:paraId="7C96D74E" w14:textId="77777777" w:rsidR="006558C6" w:rsidRDefault="006558C6" w:rsidP="006B2964">
      <w:pPr>
        <w:spacing w:after="0"/>
        <w:ind w:left="360"/>
      </w:pPr>
      <w:r w:rsidRPr="006558C6">
        <w:rPr>
          <w:noProof/>
        </w:rPr>
        <w:lastRenderedPageBreak/>
        <w:drawing>
          <wp:inline distT="0" distB="0" distL="0" distR="0" wp14:anchorId="719825C3" wp14:editId="74EDA312">
            <wp:extent cx="9777730" cy="7078328"/>
            <wp:effectExtent l="0" t="0" r="0" b="889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7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ED6C7" w14:textId="77777777"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 wp14:anchorId="5B95E5D8" wp14:editId="209F767F">
            <wp:extent cx="9777730" cy="6315759"/>
            <wp:effectExtent l="0" t="0" r="0" b="889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31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26B7B" w14:textId="77777777"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 wp14:anchorId="2091B69D" wp14:editId="11175BA9">
            <wp:extent cx="9777730" cy="6877159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7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229B2" w14:textId="77777777"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 wp14:anchorId="482425D4" wp14:editId="2DCC2223">
            <wp:extent cx="9777730" cy="7106398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66D9A" w14:textId="77777777" w:rsidR="000E18CB" w:rsidRDefault="000E18CB" w:rsidP="006B2964">
      <w:pPr>
        <w:ind w:firstLine="360"/>
      </w:pPr>
      <w:r w:rsidRPr="000E18CB">
        <w:rPr>
          <w:noProof/>
        </w:rPr>
        <w:lastRenderedPageBreak/>
        <w:drawing>
          <wp:inline distT="0" distB="0" distL="0" distR="0" wp14:anchorId="0B4676AE" wp14:editId="29439C26">
            <wp:extent cx="9777730" cy="1057305"/>
            <wp:effectExtent l="0" t="0" r="0" b="952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05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781EB" w14:textId="77777777" w:rsidR="006B2964" w:rsidRDefault="006B2964" w:rsidP="006B2964">
      <w:pPr>
        <w:ind w:firstLine="360"/>
      </w:pPr>
      <w:r>
        <w:t xml:space="preserve">tab. č. </w:t>
      </w:r>
      <w:r w:rsidR="00594D45">
        <w:t>4</w:t>
      </w:r>
      <w:r>
        <w:t xml:space="preserve"> - Vzor měsíčního výkazu pro vykázání mýta</w:t>
      </w:r>
    </w:p>
    <w:p w14:paraId="7B9FC718" w14:textId="77777777" w:rsidR="00594D45" w:rsidRDefault="00594D45" w:rsidP="000E18CB"/>
    <w:p w14:paraId="3BA5E2CC" w14:textId="77777777" w:rsidR="000808AE" w:rsidRDefault="000808AE" w:rsidP="000E18CB"/>
    <w:p w14:paraId="65FA8858" w14:textId="77777777" w:rsidR="000808AE" w:rsidRDefault="000808AE" w:rsidP="000E18CB"/>
    <w:p w14:paraId="574D88CF" w14:textId="77777777" w:rsidR="000808AE" w:rsidRDefault="000808AE" w:rsidP="000E18CB"/>
    <w:p w14:paraId="54865C2B" w14:textId="77777777" w:rsidR="000808AE" w:rsidRDefault="000808AE" w:rsidP="000E18CB"/>
    <w:p w14:paraId="418AB7D6" w14:textId="77777777" w:rsidR="000808AE" w:rsidRDefault="000808AE" w:rsidP="000E18CB"/>
    <w:p w14:paraId="01BB5AE6" w14:textId="77777777" w:rsidR="000808AE" w:rsidRDefault="000808AE" w:rsidP="000E18CB"/>
    <w:p w14:paraId="0B9AC7FB" w14:textId="77777777" w:rsidR="000808AE" w:rsidRDefault="000808AE" w:rsidP="000E18CB"/>
    <w:p w14:paraId="4BF691EC" w14:textId="77777777" w:rsidR="000808AE" w:rsidRDefault="000808AE" w:rsidP="000E18CB"/>
    <w:p w14:paraId="4D48DBDF" w14:textId="77777777" w:rsidR="000808AE" w:rsidRDefault="000808AE" w:rsidP="000E18CB"/>
    <w:p w14:paraId="7F27E00F" w14:textId="77777777" w:rsidR="000808AE" w:rsidRDefault="000808AE" w:rsidP="000E18CB"/>
    <w:p w14:paraId="37CBAECA" w14:textId="77777777" w:rsidR="000808AE" w:rsidRDefault="000808AE" w:rsidP="000E18CB"/>
    <w:p w14:paraId="1BFD414B" w14:textId="77777777" w:rsidR="000808AE" w:rsidRDefault="000808AE" w:rsidP="000E18CB"/>
    <w:p w14:paraId="5DBE9FC7" w14:textId="77777777" w:rsidR="000808AE" w:rsidRDefault="000808AE" w:rsidP="000E18CB"/>
    <w:p w14:paraId="750484B5" w14:textId="77777777" w:rsidR="000808AE" w:rsidRDefault="000808AE" w:rsidP="000E18CB"/>
    <w:p w14:paraId="496417C7" w14:textId="77777777" w:rsidR="000808AE" w:rsidRDefault="000808AE" w:rsidP="000E18CB"/>
    <w:p w14:paraId="1FF1093B" w14:textId="77777777" w:rsidR="000808AE" w:rsidRDefault="000808AE" w:rsidP="000E18CB"/>
    <w:p w14:paraId="7CFBF166" w14:textId="77777777" w:rsidR="006B2964" w:rsidRDefault="003B47D0" w:rsidP="006B2964">
      <w:pPr>
        <w:ind w:left="360"/>
        <w:rPr>
          <w:b/>
          <w:sz w:val="32"/>
          <w:szCs w:val="32"/>
        </w:rPr>
      </w:pPr>
      <w:r w:rsidRPr="003B47D0">
        <w:rPr>
          <w:b/>
          <w:sz w:val="32"/>
          <w:szCs w:val="32"/>
        </w:rPr>
        <w:lastRenderedPageBreak/>
        <w:t>F. Území daného kraje, Platnost tarifu - sloupec č. 3</w:t>
      </w:r>
      <w:r>
        <w:rPr>
          <w:b/>
          <w:sz w:val="32"/>
          <w:szCs w:val="32"/>
        </w:rPr>
        <w:t xml:space="preserve"> vyúčtování</w:t>
      </w:r>
    </w:p>
    <w:p w14:paraId="6868D581" w14:textId="77777777" w:rsidR="003B47D0" w:rsidRPr="003B47D0" w:rsidRDefault="003B47D0" w:rsidP="003B47D0">
      <w:pPr>
        <w:spacing w:line="240" w:lineRule="auto"/>
        <w:ind w:left="360"/>
      </w:pPr>
      <w:r w:rsidRPr="003B47D0">
        <w:t xml:space="preserve">* Území daného </w:t>
      </w:r>
      <w:r w:rsidR="00775793" w:rsidRPr="003B47D0">
        <w:t>kraje – v</w:t>
      </w:r>
      <w:r w:rsidRPr="003B47D0">
        <w:t xml:space="preserve"> případě, že spoj v závazku Kraje Vysočina jede i po území jiného kraje je třeba ve Použité zkratky území: KV-Kraj Vysočina, PK-Pardubický kraj, JMK-Jihomoravský kraj, JČK-Jihočeský kraj)</w:t>
      </w:r>
      <w:r w:rsidR="00775793">
        <w:t xml:space="preserve"> </w:t>
      </w:r>
      <w:r w:rsidRPr="003B47D0">
        <w:t>vyúčtování rozdělit počet km po území Kraje Vysočina a počet km po území jiného kraje.</w:t>
      </w:r>
    </w:p>
    <w:p w14:paraId="18D3B505" w14:textId="77777777" w:rsidR="003B47D0" w:rsidRPr="003B47D0" w:rsidRDefault="003B47D0" w:rsidP="003B47D0">
      <w:pPr>
        <w:spacing w:line="240" w:lineRule="auto"/>
        <w:ind w:left="360"/>
      </w:pPr>
      <w:r w:rsidRPr="003B47D0">
        <w:t>Platnost tarifu na daném úseku spoje - VDV - tarif Kraje Vysočina, KM - tarif kilometrický, IREDO - tarif Pardubického kraje,  IDSJMK - tarif Jihomoravského kraje</w:t>
      </w:r>
    </w:p>
    <w:p w14:paraId="0CD43DA9" w14:textId="77777777" w:rsidR="003B47D0" w:rsidRPr="003B47D0" w:rsidRDefault="003B47D0" w:rsidP="003B47D0">
      <w:pPr>
        <w:spacing w:line="240" w:lineRule="auto"/>
        <w:ind w:left="360"/>
      </w:pPr>
      <w:r w:rsidRPr="003B47D0">
        <w:t>Možné zkratky, které se</w:t>
      </w:r>
      <w:r w:rsidR="00BE719D">
        <w:t xml:space="preserve"> mohou objevit</w:t>
      </w:r>
      <w:r w:rsidRPr="003B47D0">
        <w:t xml:space="preserve"> ve vyúčtování</w:t>
      </w:r>
    </w:p>
    <w:p w14:paraId="454E42C1" w14:textId="77777777" w:rsidR="003B47D0" w:rsidRPr="003B47D0" w:rsidRDefault="003B47D0" w:rsidP="003B47D0">
      <w:pPr>
        <w:spacing w:line="240" w:lineRule="auto"/>
        <w:ind w:left="360"/>
      </w:pPr>
      <w:r w:rsidRPr="003B47D0">
        <w:t>KVVDV - území Kraje Vysočina v tarifu VDV</w:t>
      </w:r>
    </w:p>
    <w:p w14:paraId="6663AF17" w14:textId="77777777" w:rsidR="003B47D0" w:rsidRPr="003B47D0" w:rsidRDefault="003B47D0" w:rsidP="003B47D0">
      <w:pPr>
        <w:spacing w:line="240" w:lineRule="auto"/>
        <w:ind w:left="360"/>
      </w:pPr>
      <w:r w:rsidRPr="003B47D0">
        <w:t>KVKM - území Kraje Vysočina v tarifu kilometrickém</w:t>
      </w:r>
    </w:p>
    <w:p w14:paraId="1941026A" w14:textId="77777777" w:rsidR="003B47D0" w:rsidRPr="003B47D0" w:rsidRDefault="003B47D0" w:rsidP="003B47D0">
      <w:pPr>
        <w:spacing w:line="240" w:lineRule="auto"/>
        <w:ind w:left="360"/>
      </w:pPr>
      <w:r w:rsidRPr="003B47D0">
        <w:t>KVIREDO - území Kraje Vysočina v tarifu IREDO</w:t>
      </w:r>
    </w:p>
    <w:p w14:paraId="6E06560D" w14:textId="77777777" w:rsidR="003B47D0" w:rsidRPr="003B47D0" w:rsidRDefault="003B47D0" w:rsidP="003B47D0">
      <w:pPr>
        <w:spacing w:line="240" w:lineRule="auto"/>
        <w:ind w:left="360"/>
      </w:pPr>
      <w:r w:rsidRPr="003B47D0">
        <w:t>KVIDSJMK - území Kraje Vysočina v tarifu IDSJMK</w:t>
      </w:r>
    </w:p>
    <w:p w14:paraId="04201DBF" w14:textId="77777777" w:rsidR="003B47D0" w:rsidRPr="003B47D0" w:rsidRDefault="003B47D0" w:rsidP="003B47D0">
      <w:pPr>
        <w:spacing w:line="240" w:lineRule="auto"/>
        <w:ind w:left="360"/>
      </w:pPr>
      <w:r w:rsidRPr="003B47D0">
        <w:t>JMKVDV - území Jihomoravského kraje v tarifu VDV</w:t>
      </w:r>
    </w:p>
    <w:p w14:paraId="5F21E6F3" w14:textId="77777777" w:rsidR="003B47D0" w:rsidRPr="003B47D0" w:rsidRDefault="003B47D0" w:rsidP="003B47D0">
      <w:pPr>
        <w:spacing w:line="240" w:lineRule="auto"/>
        <w:ind w:left="360"/>
      </w:pPr>
      <w:r w:rsidRPr="003B47D0">
        <w:t>JMKKM - území Jihomoravského kraje v tarifu kilometrickém</w:t>
      </w:r>
    </w:p>
    <w:p w14:paraId="32A5EBD1" w14:textId="77777777" w:rsidR="003B47D0" w:rsidRPr="003B47D0" w:rsidRDefault="003B47D0" w:rsidP="003B47D0">
      <w:pPr>
        <w:spacing w:line="240" w:lineRule="auto"/>
        <w:ind w:left="360"/>
      </w:pPr>
      <w:r w:rsidRPr="003B47D0">
        <w:t>JMKIDSJMK - území Jihomoravského kraje v tarifu IDSJMK</w:t>
      </w:r>
    </w:p>
    <w:p w14:paraId="22548E37" w14:textId="77777777" w:rsidR="003B47D0" w:rsidRPr="003B47D0" w:rsidRDefault="003B47D0" w:rsidP="003B47D0">
      <w:pPr>
        <w:spacing w:line="240" w:lineRule="auto"/>
        <w:ind w:left="360"/>
      </w:pPr>
      <w:r w:rsidRPr="003B47D0">
        <w:t>PKIREDO - území Pardubického kraje v tarifu IREDO</w:t>
      </w:r>
    </w:p>
    <w:p w14:paraId="20E08CEE" w14:textId="77777777" w:rsidR="003B47D0" w:rsidRPr="003B47D0" w:rsidRDefault="003B47D0" w:rsidP="003B47D0">
      <w:pPr>
        <w:spacing w:line="240" w:lineRule="auto"/>
        <w:ind w:left="360"/>
      </w:pPr>
      <w:r w:rsidRPr="003B47D0">
        <w:t>PKKM - území Pardubického kraje v tarifu kilometrickém</w:t>
      </w:r>
    </w:p>
    <w:p w14:paraId="618B3BBC" w14:textId="77777777" w:rsidR="003B47D0" w:rsidRDefault="003B47D0" w:rsidP="003B47D0">
      <w:pPr>
        <w:spacing w:line="240" w:lineRule="auto"/>
        <w:ind w:left="360"/>
      </w:pPr>
      <w:r w:rsidRPr="003B47D0">
        <w:t>JČKKM - území Jihočeského kraje v tarifu kilometrickém</w:t>
      </w:r>
    </w:p>
    <w:p w14:paraId="357F7AC2" w14:textId="77777777" w:rsidR="00BE719D" w:rsidRDefault="00BE719D" w:rsidP="003B47D0">
      <w:pPr>
        <w:spacing w:line="240" w:lineRule="auto"/>
        <w:ind w:left="360"/>
      </w:pPr>
      <w:r>
        <w:t>JČKVDV – území Jihočeského kraje v tarifu VDV</w:t>
      </w:r>
    </w:p>
    <w:p w14:paraId="769527AF" w14:textId="77777777" w:rsidR="00BE719D" w:rsidRDefault="00BE719D" w:rsidP="003B47D0">
      <w:pPr>
        <w:spacing w:line="240" w:lineRule="auto"/>
        <w:ind w:left="360"/>
      </w:pPr>
    </w:p>
    <w:p w14:paraId="53206227" w14:textId="77777777" w:rsidR="00594D45" w:rsidRDefault="00594D45" w:rsidP="003B47D0">
      <w:pPr>
        <w:spacing w:line="240" w:lineRule="auto"/>
        <w:ind w:left="360"/>
      </w:pPr>
    </w:p>
    <w:p w14:paraId="1C625C7E" w14:textId="77777777" w:rsidR="00594D45" w:rsidRDefault="00594D45" w:rsidP="003B47D0">
      <w:pPr>
        <w:spacing w:line="240" w:lineRule="auto"/>
        <w:ind w:left="360"/>
      </w:pPr>
    </w:p>
    <w:p w14:paraId="04831DF3" w14:textId="77777777" w:rsidR="00594D45" w:rsidRDefault="00594D45" w:rsidP="003B47D0">
      <w:pPr>
        <w:spacing w:line="240" w:lineRule="auto"/>
        <w:ind w:left="360"/>
      </w:pPr>
    </w:p>
    <w:p w14:paraId="3520B464" w14:textId="77777777" w:rsidR="00594D45" w:rsidRDefault="00594D45" w:rsidP="003B47D0">
      <w:pPr>
        <w:spacing w:line="240" w:lineRule="auto"/>
        <w:ind w:left="360"/>
      </w:pPr>
    </w:p>
    <w:p w14:paraId="42B5343F" w14:textId="77777777" w:rsidR="00594D45" w:rsidRDefault="00594D45" w:rsidP="003B47D0">
      <w:pPr>
        <w:spacing w:line="240" w:lineRule="auto"/>
        <w:ind w:left="360"/>
      </w:pPr>
    </w:p>
    <w:p w14:paraId="3CA23F83" w14:textId="77777777" w:rsidR="00594D45" w:rsidRDefault="00594D45" w:rsidP="003B47D0">
      <w:pPr>
        <w:spacing w:line="240" w:lineRule="auto"/>
        <w:ind w:left="360"/>
      </w:pPr>
    </w:p>
    <w:p w14:paraId="376B4A46" w14:textId="77777777" w:rsidR="00594D45" w:rsidRDefault="00594D45" w:rsidP="003B47D0">
      <w:pPr>
        <w:spacing w:line="240" w:lineRule="auto"/>
        <w:ind w:left="360"/>
      </w:pPr>
    </w:p>
    <w:p w14:paraId="2A0D366C" w14:textId="77777777" w:rsidR="003B47D0" w:rsidRDefault="003B47D0" w:rsidP="003B47D0">
      <w:pPr>
        <w:spacing w:line="240" w:lineRule="auto"/>
        <w:ind w:left="360"/>
        <w:rPr>
          <w:b/>
          <w:sz w:val="32"/>
          <w:szCs w:val="32"/>
        </w:rPr>
      </w:pPr>
    </w:p>
    <w:p w14:paraId="57EDA2A7" w14:textId="77777777" w:rsidR="000808AE" w:rsidRDefault="000808AE" w:rsidP="000808AE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</w:t>
      </w:r>
      <w:r w:rsidRPr="00E4007C">
        <w:rPr>
          <w:b/>
          <w:bCs/>
          <w:sz w:val="32"/>
          <w:szCs w:val="32"/>
        </w:rPr>
        <w:t xml:space="preserve">. </w:t>
      </w:r>
      <w:r w:rsidRPr="000808AE">
        <w:rPr>
          <w:b/>
          <w:bCs/>
          <w:sz w:val="32"/>
          <w:szCs w:val="32"/>
        </w:rPr>
        <w:t>Měsíční vyúčtování poplatku za platby uskutečněné bezkontaktní bankovní kartou</w:t>
      </w:r>
      <w:r w:rsidR="00B1088B">
        <w:rPr>
          <w:b/>
          <w:bCs/>
          <w:sz w:val="32"/>
          <w:szCs w:val="32"/>
        </w:rPr>
        <w:t xml:space="preserve"> – sloupec č. 23 vyúčtování</w:t>
      </w:r>
    </w:p>
    <w:p w14:paraId="5285BD34" w14:textId="77777777" w:rsidR="000808AE" w:rsidRPr="00B1088B" w:rsidRDefault="000808AE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0808AE">
        <w:rPr>
          <w:rFonts w:eastAsia="Times New Roman" w:cstheme="minorHAnsi"/>
          <w:lang w:eastAsia="cs-CZ"/>
        </w:rPr>
        <w:t>Dopravce předloží společně s vyúčtováním za příslušný kalendářní měsíc také formulář pro vyúčtování poplatku za platby provedené platební kartou za spoje v závazku kraje.</w:t>
      </w:r>
      <w:r w:rsidR="003103E9" w:rsidRPr="00B1088B">
        <w:rPr>
          <w:rFonts w:eastAsia="Times New Roman" w:cstheme="minorHAnsi"/>
          <w:lang w:eastAsia="cs-CZ"/>
        </w:rPr>
        <w:t xml:space="preserve"> (Musí být smluvně zakotveno mezi objednatelem a dodavatelem)</w:t>
      </w:r>
    </w:p>
    <w:p w14:paraId="6FB85A3D" w14:textId="77777777" w:rsidR="003103E9" w:rsidRDefault="003103E9" w:rsidP="000808AE">
      <w:pPr>
        <w:spacing w:after="0" w:line="240" w:lineRule="auto"/>
        <w:ind w:left="360"/>
        <w:rPr>
          <w:rFonts w:ascii="Arial CE" w:eastAsia="Times New Roman" w:hAnsi="Arial CE" w:cs="Arial CE"/>
          <w:sz w:val="20"/>
          <w:szCs w:val="20"/>
          <w:lang w:eastAsia="cs-CZ"/>
        </w:rPr>
      </w:pPr>
    </w:p>
    <w:p w14:paraId="0E6ADB03" w14:textId="77777777" w:rsidR="004365DD" w:rsidRPr="000808AE" w:rsidRDefault="004365DD" w:rsidP="000808AE">
      <w:pPr>
        <w:spacing w:after="0" w:line="240" w:lineRule="auto"/>
        <w:ind w:left="360"/>
        <w:rPr>
          <w:rFonts w:ascii="Arial CE" w:eastAsia="Times New Roman" w:hAnsi="Arial CE" w:cs="Arial CE"/>
          <w:sz w:val="20"/>
          <w:szCs w:val="20"/>
          <w:lang w:eastAsia="cs-CZ"/>
        </w:rPr>
      </w:pPr>
    </w:p>
    <w:p w14:paraId="3460B784" w14:textId="77777777" w:rsidR="000808AE" w:rsidRDefault="004365DD" w:rsidP="000808AE">
      <w:pPr>
        <w:ind w:firstLine="360"/>
        <w:rPr>
          <w:b/>
          <w:bCs/>
          <w:sz w:val="32"/>
          <w:szCs w:val="32"/>
        </w:rPr>
      </w:pPr>
      <w:r w:rsidRPr="004365DD">
        <w:rPr>
          <w:noProof/>
        </w:rPr>
        <w:drawing>
          <wp:inline distT="0" distB="0" distL="0" distR="0" wp14:anchorId="21CA145B" wp14:editId="607BA386">
            <wp:extent cx="6140450" cy="2794000"/>
            <wp:effectExtent l="0" t="0" r="0" b="635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0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D09FB" w14:textId="77777777" w:rsidR="004365DD" w:rsidRDefault="004365DD" w:rsidP="000808AE">
      <w:pPr>
        <w:ind w:firstLine="360"/>
        <w:rPr>
          <w:b/>
          <w:bCs/>
          <w:sz w:val="32"/>
          <w:szCs w:val="32"/>
        </w:rPr>
      </w:pPr>
      <w:r w:rsidRPr="004365DD">
        <w:rPr>
          <w:noProof/>
        </w:rPr>
        <w:drawing>
          <wp:inline distT="0" distB="0" distL="0" distR="0" wp14:anchorId="023D3BED" wp14:editId="0230AA53">
            <wp:extent cx="6140450" cy="63500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4E9E1" w14:textId="77777777"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 xml:space="preserve">Vypracoval/a: </w:t>
      </w:r>
    </w:p>
    <w:p w14:paraId="322D34C8" w14:textId="77777777"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>Dne:</w:t>
      </w:r>
    </w:p>
    <w:p w14:paraId="0B4EA08B" w14:textId="77777777" w:rsidR="00B1088B" w:rsidRDefault="00B1088B" w:rsidP="00B1088B">
      <w:pPr>
        <w:ind w:firstLine="360"/>
      </w:pPr>
      <w:r>
        <w:t>tab. č. 5 - Vzor měsíčního výkazu pro vyúčtování poplatku za platby uskutečněné bezkontaktní platební kartou</w:t>
      </w:r>
    </w:p>
    <w:p w14:paraId="6271BDB3" w14:textId="77777777" w:rsidR="000808AE" w:rsidRPr="003B47D0" w:rsidRDefault="000808AE" w:rsidP="003B47D0">
      <w:pPr>
        <w:spacing w:line="240" w:lineRule="auto"/>
        <w:ind w:left="360"/>
        <w:rPr>
          <w:b/>
          <w:sz w:val="32"/>
          <w:szCs w:val="32"/>
        </w:rPr>
      </w:pPr>
    </w:p>
    <w:p w14:paraId="408767A0" w14:textId="77777777" w:rsidR="003A0FC5" w:rsidRDefault="000808AE" w:rsidP="00E4007C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H</w:t>
      </w:r>
      <w:r w:rsidR="00E4007C" w:rsidRPr="00E4007C">
        <w:rPr>
          <w:b/>
          <w:bCs/>
          <w:sz w:val="32"/>
          <w:szCs w:val="32"/>
        </w:rPr>
        <w:t>. Data o přepravených cestujících na spojích v závazku Kraje Vysočina</w:t>
      </w:r>
    </w:p>
    <w:p w14:paraId="259F38AC" w14:textId="77777777"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>Dopravce předloží Objednateli data z elektronických odbavovacích zařízení o prodaných jízdenkách do 15-tého v daném měsíci ve formátu .xlsx a v členění:</w:t>
      </w:r>
    </w:p>
    <w:tbl>
      <w:tblPr>
        <w:tblStyle w:val="Mkatabulky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992"/>
        <w:gridCol w:w="1359"/>
        <w:gridCol w:w="2468"/>
        <w:gridCol w:w="2268"/>
        <w:gridCol w:w="992"/>
        <w:gridCol w:w="1701"/>
        <w:gridCol w:w="2195"/>
      </w:tblGrid>
      <w:tr w:rsidR="00E4007C" w:rsidRPr="00E4007C" w14:paraId="4300A36C" w14:textId="77777777" w:rsidTr="00971ECC">
        <w:trPr>
          <w:trHeight w:val="510"/>
        </w:trPr>
        <w:tc>
          <w:tcPr>
            <w:tcW w:w="1134" w:type="dxa"/>
            <w:hideMark/>
          </w:tcPr>
          <w:p w14:paraId="684DE643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Linka</w:t>
            </w:r>
          </w:p>
        </w:tc>
        <w:tc>
          <w:tcPr>
            <w:tcW w:w="992" w:type="dxa"/>
            <w:hideMark/>
          </w:tcPr>
          <w:p w14:paraId="0F8798FF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Spoj</w:t>
            </w:r>
          </w:p>
        </w:tc>
        <w:tc>
          <w:tcPr>
            <w:tcW w:w="1359" w:type="dxa"/>
            <w:hideMark/>
          </w:tcPr>
          <w:p w14:paraId="60051D64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Datum</w:t>
            </w:r>
          </w:p>
        </w:tc>
        <w:tc>
          <w:tcPr>
            <w:tcW w:w="2468" w:type="dxa"/>
            <w:hideMark/>
          </w:tcPr>
          <w:p w14:paraId="3F456C5B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Nástupní zastávka</w:t>
            </w:r>
          </w:p>
        </w:tc>
        <w:tc>
          <w:tcPr>
            <w:tcW w:w="2268" w:type="dxa"/>
            <w:hideMark/>
          </w:tcPr>
          <w:p w14:paraId="655AAF88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Výstupní zastávka</w:t>
            </w:r>
          </w:p>
        </w:tc>
        <w:tc>
          <w:tcPr>
            <w:tcW w:w="992" w:type="dxa"/>
            <w:hideMark/>
          </w:tcPr>
          <w:p w14:paraId="630CD164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Tarif</w:t>
            </w:r>
          </w:p>
        </w:tc>
        <w:tc>
          <w:tcPr>
            <w:tcW w:w="1701" w:type="dxa"/>
            <w:hideMark/>
          </w:tcPr>
          <w:p w14:paraId="7DC9D320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Popis tarifu</w:t>
            </w:r>
          </w:p>
        </w:tc>
        <w:tc>
          <w:tcPr>
            <w:tcW w:w="2195" w:type="dxa"/>
            <w:hideMark/>
          </w:tcPr>
          <w:p w14:paraId="42B55EBF" w14:textId="77777777"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Počet přepravených osob</w:t>
            </w:r>
          </w:p>
        </w:tc>
      </w:tr>
    </w:tbl>
    <w:p w14:paraId="0A8A3E81" w14:textId="77777777"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 xml:space="preserve">ve sloupci tarif bude uvedeno číslo tarifu </w:t>
      </w:r>
      <w:r w:rsidR="00775793" w:rsidRPr="00E4007C">
        <w:rPr>
          <w:bCs/>
        </w:rPr>
        <w:t>(např.</w:t>
      </w:r>
      <w:r w:rsidRPr="00E4007C">
        <w:rPr>
          <w:bCs/>
        </w:rPr>
        <w:t xml:space="preserve"> u tarifu VDV číslo 41, 42,43,44, 101 atd.)</w:t>
      </w:r>
    </w:p>
    <w:p w14:paraId="748C8D4A" w14:textId="77777777" w:rsidR="00E4007C" w:rsidRDefault="00E4007C" w:rsidP="00E4007C">
      <w:pPr>
        <w:ind w:firstLine="360"/>
        <w:rPr>
          <w:bCs/>
        </w:rPr>
      </w:pPr>
      <w:r w:rsidRPr="00E4007C">
        <w:rPr>
          <w:bCs/>
        </w:rPr>
        <w:t>ve sloupci popis tarifu bude uvedeno (např. u tarifu VDV - Dítě do 6 let bezplatná, Odboj bezplatná, Zaměstnanecké bezplatná atd.)</w:t>
      </w:r>
    </w:p>
    <w:p w14:paraId="4F153316" w14:textId="77777777" w:rsidR="00E4007C" w:rsidRDefault="00E4007C" w:rsidP="00E4007C">
      <w:pPr>
        <w:ind w:firstLine="360"/>
        <w:rPr>
          <w:bCs/>
        </w:rPr>
      </w:pPr>
    </w:p>
    <w:p w14:paraId="7B55BFB6" w14:textId="77777777" w:rsidR="001E61E4" w:rsidRDefault="001E61E4" w:rsidP="001E61E4">
      <w:pPr>
        <w:rPr>
          <w:rFonts w:ascii="Calibri" w:hAnsi="Calibri" w:cs="Calibri"/>
        </w:rPr>
      </w:pPr>
    </w:p>
    <w:p w14:paraId="23A89876" w14:textId="77777777" w:rsidR="001E61E4" w:rsidRPr="00E4007C" w:rsidRDefault="000808AE" w:rsidP="00E4007C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CH</w:t>
      </w:r>
      <w:r w:rsidR="00E4007C">
        <w:rPr>
          <w:b/>
          <w:bCs/>
          <w:sz w:val="32"/>
          <w:szCs w:val="32"/>
        </w:rPr>
        <w:t xml:space="preserve">. </w:t>
      </w:r>
      <w:r w:rsidR="001E61E4" w:rsidRPr="00E4007C">
        <w:rPr>
          <w:b/>
          <w:bCs/>
          <w:sz w:val="32"/>
          <w:szCs w:val="32"/>
        </w:rPr>
        <w:t>DOPY</w:t>
      </w:r>
    </w:p>
    <w:p w14:paraId="15EDBDB6" w14:textId="77777777" w:rsidR="001E61E4" w:rsidRDefault="001E61E4" w:rsidP="00594D45">
      <w:pPr>
        <w:spacing w:after="0"/>
        <w:ind w:firstLine="360"/>
      </w:pPr>
      <w:r>
        <w:t>Dopravce předloží</w:t>
      </w:r>
      <w:r w:rsidR="00443E36">
        <w:t xml:space="preserve"> Objednateli</w:t>
      </w:r>
      <w:r>
        <w:t xml:space="preserve"> do 45 dnů po ukončení příslušného kalendářního čtvrtletí statistický výkaz MD ČR Dop</w:t>
      </w:r>
      <w:r w:rsidR="00775793">
        <w:t xml:space="preserve"> </w:t>
      </w:r>
      <w:r>
        <w:t>(MD) 2-04 a Dop</w:t>
      </w:r>
      <w:r w:rsidR="00775793">
        <w:t xml:space="preserve"> </w:t>
      </w:r>
      <w:r>
        <w:t>(MD) 3-04</w:t>
      </w:r>
    </w:p>
    <w:p w14:paraId="5C93B699" w14:textId="77777777" w:rsidR="001E61E4" w:rsidRDefault="001E61E4" w:rsidP="00594D45">
      <w:pPr>
        <w:spacing w:after="0"/>
        <w:ind w:left="360"/>
      </w:pPr>
      <w:r>
        <w:t>Uvedené výkazy, údaje a data dopravce objednateli předá mimo fyzické (listinné) podoby také elektronicky v souborech.xls formátu na vhodném přenosovém médiu, popřípadě prostřednictvím elektronické pošty.</w:t>
      </w:r>
    </w:p>
    <w:p w14:paraId="29D0F05D" w14:textId="77777777" w:rsidR="001E61E4" w:rsidRDefault="001E61E4" w:rsidP="00594D45">
      <w:pPr>
        <w:spacing w:after="0"/>
      </w:pPr>
    </w:p>
    <w:p w14:paraId="4FA1DF06" w14:textId="77777777" w:rsidR="001E61E4" w:rsidRDefault="001E61E4" w:rsidP="00594D45">
      <w:pPr>
        <w:ind w:firstLine="360"/>
      </w:pPr>
      <w:r>
        <w:t xml:space="preserve">Dopravce se zavazuje nejpozději do 10. kalendářního dne následujícího měsíce elektronicky nahrávat ve formátu: </w:t>
      </w:r>
    </w:p>
    <w:p w14:paraId="0FF5CEB6" w14:textId="77777777" w:rsidR="001E61E4" w:rsidRDefault="001E61E4" w:rsidP="00594D45">
      <w:pPr>
        <w:ind w:left="360"/>
      </w:pPr>
      <w:r>
        <w:t>-              CSV (comma separated values) – záznamově orientovaný formát dat s oddělovači (pole oddělena čárkou, záznamy odděleny středníkem a CRLF). Všechny údaje jsou uvedeny v textovém tvaru (textová pole uzavřená ve znacích uvozovky nahoře). Uvozovky uvnitř textu není třeba zdvojovat. Soubory mohou být bez přípony nebo mít příponu TXT nebo CSV v případě jízdenek z rezervačního systému AMS příponu XML,</w:t>
      </w:r>
    </w:p>
    <w:p w14:paraId="6407D450" w14:textId="77777777" w:rsidR="001E61E4" w:rsidRDefault="001E61E4" w:rsidP="00594D45">
      <w:pPr>
        <w:ind w:left="360"/>
      </w:pPr>
      <w:r>
        <w:t>-              do celostátního informačního systému (CIS) vedeného právnickou osobou CHAPS spol. s r.o., všechny jízdenky vydané v rámci smlouvy o závazku veřejné služby</w:t>
      </w:r>
      <w:r w:rsidR="00877D7C">
        <w:t xml:space="preserve"> Kraje Vysočina.</w:t>
      </w:r>
    </w:p>
    <w:p w14:paraId="1B68E3BF" w14:textId="77777777" w:rsidR="00877D7C" w:rsidRDefault="00877D7C" w:rsidP="001E61E4"/>
    <w:p w14:paraId="21F5D255" w14:textId="77777777" w:rsidR="003D1158" w:rsidRDefault="003D1158" w:rsidP="001E61E4"/>
    <w:p w14:paraId="6E92C657" w14:textId="77777777" w:rsidR="003D1158" w:rsidRDefault="003D1158" w:rsidP="001E61E4"/>
    <w:p w14:paraId="0FCFF20B" w14:textId="77777777" w:rsidR="003D1158" w:rsidRDefault="003D1158" w:rsidP="001E61E4"/>
    <w:p w14:paraId="37853BFB" w14:textId="77777777" w:rsidR="003D1158" w:rsidRDefault="003D1158" w:rsidP="001E61E4"/>
    <w:p w14:paraId="0D5AD791" w14:textId="77777777" w:rsidR="00D05292" w:rsidRPr="003D1158" w:rsidRDefault="00D05292" w:rsidP="003D1158">
      <w:pPr>
        <w:pStyle w:val="Odstavecseseznamem"/>
        <w:numPr>
          <w:ilvl w:val="0"/>
          <w:numId w:val="8"/>
        </w:numPr>
        <w:rPr>
          <w:b/>
          <w:bCs/>
          <w:sz w:val="32"/>
          <w:szCs w:val="32"/>
        </w:rPr>
      </w:pPr>
      <w:r w:rsidRPr="003D1158">
        <w:rPr>
          <w:b/>
          <w:bCs/>
          <w:sz w:val="32"/>
          <w:szCs w:val="32"/>
        </w:rPr>
        <w:lastRenderedPageBreak/>
        <w:t>Čtvrtletní výkaz</w:t>
      </w:r>
      <w:r w:rsidR="007D531C">
        <w:rPr>
          <w:b/>
          <w:bCs/>
          <w:sz w:val="32"/>
          <w:szCs w:val="32"/>
        </w:rPr>
        <w:t xml:space="preserve"> pro vykázání provedených přepravních</w:t>
      </w:r>
      <w:r w:rsidRPr="003D1158">
        <w:rPr>
          <w:b/>
          <w:bCs/>
          <w:sz w:val="32"/>
          <w:szCs w:val="32"/>
        </w:rPr>
        <w:t xml:space="preserve"> </w:t>
      </w:r>
      <w:r w:rsidR="007D531C">
        <w:rPr>
          <w:b/>
          <w:bCs/>
          <w:sz w:val="32"/>
          <w:szCs w:val="32"/>
        </w:rPr>
        <w:t>kontrol a výkaz pro</w:t>
      </w:r>
      <w:r w:rsidR="00C04936">
        <w:rPr>
          <w:b/>
          <w:bCs/>
          <w:sz w:val="32"/>
          <w:szCs w:val="32"/>
        </w:rPr>
        <w:t xml:space="preserve"> přehled o vymožených nedoplatcích jízdného a přirážkách k jízdnému</w:t>
      </w:r>
    </w:p>
    <w:p w14:paraId="710C7ECF" w14:textId="77777777" w:rsidR="003D1158" w:rsidRPr="003D1158" w:rsidRDefault="003D1158" w:rsidP="003D1158">
      <w:pPr>
        <w:ind w:left="360"/>
        <w:rPr>
          <w:b/>
          <w:bCs/>
          <w:sz w:val="32"/>
          <w:szCs w:val="32"/>
        </w:rPr>
      </w:pPr>
      <w:r w:rsidRPr="003D1158">
        <w:rPr>
          <w:noProof/>
        </w:rPr>
        <w:drawing>
          <wp:inline distT="0" distB="0" distL="0" distR="0" wp14:anchorId="2002E09D" wp14:editId="296FA2D3">
            <wp:extent cx="9777730" cy="4094424"/>
            <wp:effectExtent l="0" t="0" r="0" b="190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09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9C0B1" w14:textId="77777777" w:rsidR="00FE3782" w:rsidRDefault="007D531C" w:rsidP="007D531C">
      <w:r>
        <w:t xml:space="preserve">       </w:t>
      </w:r>
      <w:r w:rsidR="00FE3782">
        <w:t>tab. č. 6 - Vzor výkazu pro vykázání přepravních kontrol</w:t>
      </w:r>
    </w:p>
    <w:p w14:paraId="7F11F294" w14:textId="77777777" w:rsidR="00FE3782" w:rsidRDefault="00FE3782" w:rsidP="001E61E4"/>
    <w:p w14:paraId="6E942561" w14:textId="77777777" w:rsidR="003D1158" w:rsidRDefault="003D1158" w:rsidP="001E61E4"/>
    <w:p w14:paraId="446ADFC4" w14:textId="77777777" w:rsidR="003D1158" w:rsidRDefault="003D1158" w:rsidP="001E61E4"/>
    <w:p w14:paraId="531740D6" w14:textId="77777777" w:rsidR="003D1158" w:rsidRDefault="003D1158" w:rsidP="001E61E4"/>
    <w:p w14:paraId="3E1F3B64" w14:textId="77777777" w:rsidR="00C04936" w:rsidRDefault="00C04936" w:rsidP="001E61E4">
      <w:r w:rsidRPr="00C04936">
        <w:rPr>
          <w:noProof/>
        </w:rPr>
        <w:lastRenderedPageBreak/>
        <w:drawing>
          <wp:inline distT="0" distB="0" distL="0" distR="0" wp14:anchorId="3AC648E7" wp14:editId="63E78DFF">
            <wp:extent cx="7461250" cy="6343650"/>
            <wp:effectExtent l="0" t="0" r="635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0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64983" w14:textId="77777777" w:rsidR="00C04936" w:rsidRDefault="00C04936" w:rsidP="001E61E4">
      <w:r w:rsidRPr="00C04936">
        <w:rPr>
          <w:noProof/>
        </w:rPr>
        <w:lastRenderedPageBreak/>
        <w:drawing>
          <wp:inline distT="0" distB="0" distL="0" distR="0" wp14:anchorId="453F65CC" wp14:editId="2C312E1C">
            <wp:extent cx="7461250" cy="1466850"/>
            <wp:effectExtent l="0" t="0" r="635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F0CCA" w14:textId="77777777" w:rsidR="00C04936" w:rsidRDefault="00C04936" w:rsidP="00C04936">
      <w:r>
        <w:t xml:space="preserve">       tab. č. 7 - Vzor výkazu pro vykázání vymožených nedoplatků jízdného a přirážkách k jízdnému</w:t>
      </w:r>
    </w:p>
    <w:p w14:paraId="068A984C" w14:textId="77777777" w:rsidR="00C04936" w:rsidRDefault="00C04936" w:rsidP="001E61E4"/>
    <w:sectPr w:rsidR="00C04936" w:rsidSect="001E61E4">
      <w:footerReference w:type="default" r:id="rId2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ED0A5" w14:textId="77777777" w:rsidR="0085021C" w:rsidRDefault="0085021C" w:rsidP="00612ABA">
      <w:pPr>
        <w:spacing w:after="0" w:line="240" w:lineRule="auto"/>
      </w:pPr>
      <w:r>
        <w:separator/>
      </w:r>
    </w:p>
  </w:endnote>
  <w:endnote w:type="continuationSeparator" w:id="0">
    <w:p w14:paraId="248BC283" w14:textId="77777777" w:rsidR="0085021C" w:rsidRDefault="0085021C" w:rsidP="0061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714391"/>
      <w:docPartObj>
        <w:docPartGallery w:val="Page Numbers (Bottom of Page)"/>
        <w:docPartUnique/>
      </w:docPartObj>
    </w:sdtPr>
    <w:sdtContent>
      <w:p w14:paraId="04C22883" w14:textId="77777777" w:rsidR="00612ABA" w:rsidRDefault="00612AB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D99">
          <w:rPr>
            <w:noProof/>
          </w:rPr>
          <w:t>17</w:t>
        </w:r>
        <w:r>
          <w:fldChar w:fldCharType="end"/>
        </w:r>
      </w:p>
    </w:sdtContent>
  </w:sdt>
  <w:p w14:paraId="2798CBC3" w14:textId="77777777" w:rsidR="00612ABA" w:rsidRDefault="00612A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7EE55" w14:textId="77777777" w:rsidR="0085021C" w:rsidRDefault="0085021C" w:rsidP="00612ABA">
      <w:pPr>
        <w:spacing w:after="0" w:line="240" w:lineRule="auto"/>
      </w:pPr>
      <w:r>
        <w:separator/>
      </w:r>
    </w:p>
  </w:footnote>
  <w:footnote w:type="continuationSeparator" w:id="0">
    <w:p w14:paraId="35E6AF00" w14:textId="77777777" w:rsidR="0085021C" w:rsidRDefault="0085021C" w:rsidP="00612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49A5"/>
    <w:multiLevelType w:val="hybridMultilevel"/>
    <w:tmpl w:val="58E25E9E"/>
    <w:lvl w:ilvl="0" w:tplc="FCCA7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4A71"/>
    <w:multiLevelType w:val="hybridMultilevel"/>
    <w:tmpl w:val="7AD6E3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6D86"/>
    <w:multiLevelType w:val="hybridMultilevel"/>
    <w:tmpl w:val="5522872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526E"/>
    <w:multiLevelType w:val="hybridMultilevel"/>
    <w:tmpl w:val="9BCECD66"/>
    <w:lvl w:ilvl="0" w:tplc="BBC02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0424B"/>
    <w:multiLevelType w:val="hybridMultilevel"/>
    <w:tmpl w:val="5A7493F6"/>
    <w:lvl w:ilvl="0" w:tplc="B518FB82">
      <w:start w:val="10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1000AD"/>
    <w:multiLevelType w:val="hybridMultilevel"/>
    <w:tmpl w:val="250C9D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E42C5"/>
    <w:multiLevelType w:val="hybridMultilevel"/>
    <w:tmpl w:val="241C93E4"/>
    <w:lvl w:ilvl="0" w:tplc="0405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1014C"/>
    <w:multiLevelType w:val="hybridMultilevel"/>
    <w:tmpl w:val="9E42D2B2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878588">
    <w:abstractNumId w:val="3"/>
  </w:num>
  <w:num w:numId="2" w16cid:durableId="1537620323">
    <w:abstractNumId w:val="5"/>
  </w:num>
  <w:num w:numId="3" w16cid:durableId="982154158">
    <w:abstractNumId w:val="1"/>
  </w:num>
  <w:num w:numId="4" w16cid:durableId="895311066">
    <w:abstractNumId w:val="2"/>
  </w:num>
  <w:num w:numId="5" w16cid:durableId="1017467970">
    <w:abstractNumId w:val="7"/>
  </w:num>
  <w:num w:numId="6" w16cid:durableId="1824422597">
    <w:abstractNumId w:val="0"/>
  </w:num>
  <w:num w:numId="7" w16cid:durableId="883368397">
    <w:abstractNumId w:val="4"/>
  </w:num>
  <w:num w:numId="8" w16cid:durableId="208222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26"/>
    <w:rsid w:val="00004894"/>
    <w:rsid w:val="00006037"/>
    <w:rsid w:val="000808AE"/>
    <w:rsid w:val="000A5046"/>
    <w:rsid w:val="000C5037"/>
    <w:rsid w:val="000D1AF9"/>
    <w:rsid w:val="000E18CB"/>
    <w:rsid w:val="00124A31"/>
    <w:rsid w:val="00135FAF"/>
    <w:rsid w:val="00140946"/>
    <w:rsid w:val="001D4B1D"/>
    <w:rsid w:val="001E61E4"/>
    <w:rsid w:val="002469CB"/>
    <w:rsid w:val="002C1052"/>
    <w:rsid w:val="002C2F35"/>
    <w:rsid w:val="003103E9"/>
    <w:rsid w:val="00391AE1"/>
    <w:rsid w:val="003A0FC5"/>
    <w:rsid w:val="003B47D0"/>
    <w:rsid w:val="003D1158"/>
    <w:rsid w:val="004365DD"/>
    <w:rsid w:val="00443E36"/>
    <w:rsid w:val="00450390"/>
    <w:rsid w:val="004A3526"/>
    <w:rsid w:val="004A7D99"/>
    <w:rsid w:val="004B5001"/>
    <w:rsid w:val="004C6626"/>
    <w:rsid w:val="0051556D"/>
    <w:rsid w:val="00553CF6"/>
    <w:rsid w:val="00594D45"/>
    <w:rsid w:val="005B3E6E"/>
    <w:rsid w:val="005C54CD"/>
    <w:rsid w:val="00612ABA"/>
    <w:rsid w:val="006558C6"/>
    <w:rsid w:val="006A37CA"/>
    <w:rsid w:val="006B2964"/>
    <w:rsid w:val="00775793"/>
    <w:rsid w:val="00791ABE"/>
    <w:rsid w:val="007B4F11"/>
    <w:rsid w:val="007D531C"/>
    <w:rsid w:val="007F2653"/>
    <w:rsid w:val="007F3944"/>
    <w:rsid w:val="0085021C"/>
    <w:rsid w:val="008544E2"/>
    <w:rsid w:val="00877D7C"/>
    <w:rsid w:val="008F054E"/>
    <w:rsid w:val="0091680B"/>
    <w:rsid w:val="00971ECC"/>
    <w:rsid w:val="00A10CEE"/>
    <w:rsid w:val="00A228DF"/>
    <w:rsid w:val="00A4694F"/>
    <w:rsid w:val="00AD03D3"/>
    <w:rsid w:val="00B1088B"/>
    <w:rsid w:val="00B26762"/>
    <w:rsid w:val="00B30A4D"/>
    <w:rsid w:val="00B459E0"/>
    <w:rsid w:val="00B62A00"/>
    <w:rsid w:val="00B9280D"/>
    <w:rsid w:val="00BE719D"/>
    <w:rsid w:val="00C01952"/>
    <w:rsid w:val="00C04936"/>
    <w:rsid w:val="00C246B3"/>
    <w:rsid w:val="00C26642"/>
    <w:rsid w:val="00C54D3B"/>
    <w:rsid w:val="00C772B6"/>
    <w:rsid w:val="00CD5DE0"/>
    <w:rsid w:val="00D03C6C"/>
    <w:rsid w:val="00D05292"/>
    <w:rsid w:val="00DA3242"/>
    <w:rsid w:val="00DC4082"/>
    <w:rsid w:val="00DF59A1"/>
    <w:rsid w:val="00E04E60"/>
    <w:rsid w:val="00E4007C"/>
    <w:rsid w:val="00ED0611"/>
    <w:rsid w:val="00FD7B0E"/>
    <w:rsid w:val="00FE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BBCC"/>
  <w15:chartTrackingRefBased/>
  <w15:docId w15:val="{56D714ED-9F52-47F7-B3AF-0199E351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0946"/>
    <w:pPr>
      <w:ind w:left="720"/>
      <w:contextualSpacing/>
    </w:pPr>
  </w:style>
  <w:style w:type="paragraph" w:styleId="Nzev">
    <w:name w:val="Title"/>
    <w:basedOn w:val="Normln"/>
    <w:next w:val="Podnadpis"/>
    <w:link w:val="NzevChar"/>
    <w:qFormat/>
    <w:rsid w:val="00B459E0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B459E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59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59E0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ABA"/>
  </w:style>
  <w:style w:type="paragraph" w:styleId="Zpat">
    <w:name w:val="footer"/>
    <w:basedOn w:val="Normln"/>
    <w:link w:val="Zpat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ABA"/>
  </w:style>
  <w:style w:type="table" w:styleId="Mkatabulky">
    <w:name w:val="Table Grid"/>
    <w:basedOn w:val="Normlntabulka"/>
    <w:uiPriority w:val="39"/>
    <w:rsid w:val="00E40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17</Pages>
  <Words>1053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Myšková Jana Ing.</dc:creator>
  <cp:keywords/>
  <dc:description/>
  <cp:lastModifiedBy>Vít Baťa</cp:lastModifiedBy>
  <cp:revision>20</cp:revision>
  <dcterms:created xsi:type="dcterms:W3CDTF">2020-06-09T07:31:00Z</dcterms:created>
  <dcterms:modified xsi:type="dcterms:W3CDTF">2023-04-20T12:27:00Z</dcterms:modified>
</cp:coreProperties>
</file>